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32F0" w14:textId="7F58162B" w:rsidR="00BA5A4E" w:rsidRDefault="00BA5A4E" w:rsidP="00BA5A4E">
      <w:r>
        <w:rPr>
          <w:noProof/>
        </w:rPr>
        <w:drawing>
          <wp:inline distT="0" distB="0" distL="0" distR="0" wp14:anchorId="5CC35E86" wp14:editId="35E07793">
            <wp:extent cx="670560" cy="670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0F7C" w14:textId="77777777" w:rsidR="00BA5A4E" w:rsidRDefault="00BA5A4E" w:rsidP="00BA5A4E">
      <w:pPr>
        <w:spacing w:after="0"/>
      </w:pPr>
      <w:r>
        <w:t xml:space="preserve">Domácí hospic </w:t>
      </w:r>
      <w:proofErr w:type="spellStart"/>
      <w:r>
        <w:t>sv.Mikuláše</w:t>
      </w:r>
      <w:proofErr w:type="spellEnd"/>
      <w:r>
        <w:t xml:space="preserve">, </w:t>
      </w:r>
      <w:proofErr w:type="spellStart"/>
      <w:r>
        <w:t>z.ú</w:t>
      </w:r>
      <w:proofErr w:type="spellEnd"/>
      <w:r>
        <w:t>.</w:t>
      </w:r>
    </w:p>
    <w:p w14:paraId="4FEFC9E8" w14:textId="77777777" w:rsidR="00BA5A4E" w:rsidRDefault="00BA5A4E" w:rsidP="00BA5A4E">
      <w:pPr>
        <w:spacing w:after="0"/>
      </w:pPr>
      <w:r>
        <w:t>U Tržiště 2191/3</w:t>
      </w:r>
    </w:p>
    <w:p w14:paraId="3D21BC85" w14:textId="77777777" w:rsidR="00BA5A4E" w:rsidRDefault="00BA5A4E" w:rsidP="00BA5A4E">
      <w:pPr>
        <w:spacing w:after="0"/>
      </w:pPr>
      <w:r>
        <w:t>Velké Meziříčí 59401</w:t>
      </w:r>
    </w:p>
    <w:p w14:paraId="524A2217" w14:textId="77777777" w:rsidR="00BA5A4E" w:rsidRDefault="00BA5A4E" w:rsidP="00BA5A4E">
      <w:pPr>
        <w:spacing w:after="0"/>
      </w:pPr>
      <w:proofErr w:type="gramStart"/>
      <w:r>
        <w:t>IČ :</w:t>
      </w:r>
      <w:proofErr w:type="gramEnd"/>
      <w:r>
        <w:t xml:space="preserve"> 09481109</w:t>
      </w:r>
    </w:p>
    <w:p w14:paraId="010ABC27" w14:textId="77777777" w:rsidR="00BA5A4E" w:rsidRDefault="00BA5A4E" w:rsidP="00BA5A4E">
      <w:pPr>
        <w:spacing w:after="0"/>
      </w:pPr>
      <w:r>
        <w:t>mob. 607 553 469</w:t>
      </w:r>
    </w:p>
    <w:p w14:paraId="13E0D7F2" w14:textId="77777777" w:rsidR="00BA5A4E" w:rsidRDefault="00BA5A4E" w:rsidP="00BA5A4E">
      <w:pPr>
        <w:spacing w:after="0"/>
      </w:pPr>
      <w:hyperlink r:id="rId6" w:history="1">
        <w:r>
          <w:rPr>
            <w:rStyle w:val="Hypertextovodkaz"/>
          </w:rPr>
          <w:t>www.hospicsvmikulase.cz</w:t>
        </w:r>
      </w:hyperlink>
      <w:r>
        <w:t xml:space="preserve"> </w:t>
      </w:r>
    </w:p>
    <w:p w14:paraId="0A3AE6A1" w14:textId="77777777" w:rsidR="00BA5A4E" w:rsidRDefault="00BA5A4E" w:rsidP="00BA5A4E">
      <w:pPr>
        <w:spacing w:after="0"/>
      </w:pPr>
      <w:hyperlink r:id="rId7" w:history="1">
        <w:r>
          <w:rPr>
            <w:rStyle w:val="Hypertextovodkaz"/>
          </w:rPr>
          <w:t>hospicsvmikulase@seznam.cz</w:t>
        </w:r>
      </w:hyperlink>
      <w:r>
        <w:t xml:space="preserve">           </w:t>
      </w:r>
    </w:p>
    <w:p w14:paraId="0E3BA388" w14:textId="77777777" w:rsidR="00BA5A4E" w:rsidRDefault="00BA5A4E" w:rsidP="00BA5A4E">
      <w:pPr>
        <w:spacing w:after="0"/>
      </w:pPr>
    </w:p>
    <w:p w14:paraId="33FB24BE" w14:textId="77777777" w:rsidR="00BA5A4E" w:rsidRDefault="00BA5A4E" w:rsidP="00BA5A4E">
      <w:pPr>
        <w:spacing w:after="0"/>
      </w:pPr>
    </w:p>
    <w:p w14:paraId="192D5083" w14:textId="77777777" w:rsidR="00BA5A4E" w:rsidRPr="00BA5A4E" w:rsidRDefault="00BA5A4E" w:rsidP="00BA5A4E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kern w:val="36"/>
          <w:sz w:val="36"/>
          <w:szCs w:val="36"/>
          <w:lang w:eastAsia="cs-CZ"/>
        </w:rPr>
      </w:pPr>
      <w:r w:rsidRPr="00BA5A4E">
        <w:rPr>
          <w:rFonts w:ascii="var(--secondary-font)" w:eastAsia="Times New Roman" w:hAnsi="var(--secondary-font)" w:cs="Times New Roman"/>
          <w:kern w:val="36"/>
          <w:sz w:val="36"/>
          <w:szCs w:val="36"/>
          <w:lang w:eastAsia="cs-CZ"/>
        </w:rPr>
        <w:t>Podmínky přijetí pacienta do domácí hospicové péče</w:t>
      </w:r>
    </w:p>
    <w:p w14:paraId="4CB1F67A" w14:textId="02C3F33C" w:rsidR="00AF454F" w:rsidRDefault="00BA5A4E" w:rsidP="00BA5A4E">
      <w:pPr>
        <w:spacing w:after="0"/>
      </w:pPr>
      <w:r>
        <w:t xml:space="preserve">                         </w:t>
      </w:r>
    </w:p>
    <w:p w14:paraId="20BA2877" w14:textId="163FEF25" w:rsidR="005758DC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5758DC">
        <w:rPr>
          <w:rFonts w:ascii="Poppins" w:eastAsia="Times New Roman" w:hAnsi="Poppins" w:cs="Poppins"/>
          <w:color w:val="666666"/>
          <w:lang w:eastAsia="cs-CZ"/>
        </w:rPr>
        <w:t>p</w:t>
      </w:r>
      <w:r w:rsidRPr="00BA5A4E">
        <w:rPr>
          <w:rFonts w:ascii="Poppins" w:eastAsia="Times New Roman" w:hAnsi="Poppins" w:cs="Poppins"/>
          <w:color w:val="666666"/>
          <w:lang w:eastAsia="cs-CZ"/>
        </w:rPr>
        <w:t>okročilé nebo terminální stádium onkologického nebo jiného nevyléčitelného onemocnění.</w:t>
      </w:r>
    </w:p>
    <w:p w14:paraId="63FB06FF" w14:textId="3E4E0501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Doporu</w:t>
      </w:r>
      <w:r w:rsidRPr="00BA5A4E">
        <w:rPr>
          <w:rFonts w:ascii="Calibri" w:eastAsia="Times New Roman" w:hAnsi="Calibri" w:cs="Calibri"/>
          <w:color w:val="666666"/>
          <w:lang w:eastAsia="cs-CZ"/>
        </w:rPr>
        <w:t>č</w:t>
      </w:r>
      <w:r w:rsidRPr="00BA5A4E">
        <w:rPr>
          <w:rFonts w:ascii="Poppins" w:eastAsia="Times New Roman" w:hAnsi="Poppins" w:cs="Poppins"/>
          <w:color w:val="666666"/>
          <w:lang w:eastAsia="cs-CZ"/>
        </w:rPr>
        <w:t>en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í</w:t>
      </w:r>
      <w:r w:rsidRPr="00BA5A4E">
        <w:rPr>
          <w:rFonts w:ascii="Poppins" w:eastAsia="Times New Roman" w:hAnsi="Poppins" w:cs="Poppins"/>
          <w:color w:val="666666"/>
          <w:lang w:eastAsia="cs-CZ"/>
        </w:rPr>
        <w:t xml:space="preserve"> praktick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é</w:t>
      </w:r>
      <w:r w:rsidRPr="00BA5A4E">
        <w:rPr>
          <w:rFonts w:ascii="Poppins" w:eastAsia="Times New Roman" w:hAnsi="Poppins" w:cs="Poppins"/>
          <w:color w:val="666666"/>
          <w:lang w:eastAsia="cs-CZ"/>
        </w:rPr>
        <w:t>ho, o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š</w:t>
      </w:r>
      <w:r w:rsidRPr="00BA5A4E">
        <w:rPr>
          <w:rFonts w:ascii="Poppins" w:eastAsia="Times New Roman" w:hAnsi="Poppins" w:cs="Poppins"/>
          <w:color w:val="666666"/>
          <w:lang w:eastAsia="cs-CZ"/>
        </w:rPr>
        <w:t>et</w:t>
      </w:r>
      <w:r w:rsidRPr="00BA5A4E">
        <w:rPr>
          <w:rFonts w:ascii="Calibri" w:eastAsia="Times New Roman" w:hAnsi="Calibri" w:cs="Calibri"/>
          <w:color w:val="666666"/>
          <w:lang w:eastAsia="cs-CZ"/>
        </w:rPr>
        <w:t>ř</w:t>
      </w:r>
      <w:r w:rsidRPr="00BA5A4E">
        <w:rPr>
          <w:rFonts w:ascii="Poppins" w:eastAsia="Times New Roman" w:hAnsi="Poppins" w:cs="Poppins"/>
          <w:color w:val="666666"/>
          <w:lang w:eastAsia="cs-CZ"/>
        </w:rPr>
        <w:t>uj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í</w:t>
      </w:r>
      <w:r w:rsidRPr="00BA5A4E">
        <w:rPr>
          <w:rFonts w:ascii="Poppins" w:eastAsia="Times New Roman" w:hAnsi="Poppins" w:cs="Poppins"/>
          <w:color w:val="666666"/>
          <w:lang w:eastAsia="cs-CZ"/>
        </w:rPr>
        <w:t>c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í</w:t>
      </w:r>
      <w:r w:rsidRPr="00BA5A4E">
        <w:rPr>
          <w:rFonts w:ascii="Poppins" w:eastAsia="Times New Roman" w:hAnsi="Poppins" w:cs="Poppins"/>
          <w:color w:val="666666"/>
          <w:lang w:eastAsia="cs-CZ"/>
        </w:rPr>
        <w:t>ho nebo jin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é</w:t>
      </w:r>
      <w:r w:rsidRPr="00BA5A4E">
        <w:rPr>
          <w:rFonts w:ascii="Poppins" w:eastAsia="Times New Roman" w:hAnsi="Poppins" w:cs="Poppins"/>
          <w:color w:val="666666"/>
          <w:lang w:eastAsia="cs-CZ"/>
        </w:rPr>
        <w:t>ho odborn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é</w:t>
      </w:r>
      <w:r w:rsidRPr="00BA5A4E">
        <w:rPr>
          <w:rFonts w:ascii="Poppins" w:eastAsia="Times New Roman" w:hAnsi="Poppins" w:cs="Poppins"/>
          <w:color w:val="666666"/>
          <w:lang w:eastAsia="cs-CZ"/>
        </w:rPr>
        <w:t>ho l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é</w:t>
      </w:r>
      <w:r w:rsidRPr="00BA5A4E">
        <w:rPr>
          <w:rFonts w:ascii="Poppins" w:eastAsia="Times New Roman" w:hAnsi="Poppins" w:cs="Poppins"/>
          <w:color w:val="666666"/>
          <w:lang w:eastAsia="cs-CZ"/>
        </w:rPr>
        <w:t>ka</w:t>
      </w:r>
      <w:r w:rsidRPr="00BA5A4E">
        <w:rPr>
          <w:rFonts w:ascii="Calibri" w:eastAsia="Times New Roman" w:hAnsi="Calibri" w:cs="Calibri"/>
          <w:color w:val="666666"/>
          <w:lang w:eastAsia="cs-CZ"/>
        </w:rPr>
        <w:t>ř</w:t>
      </w:r>
      <w:r w:rsidRPr="00BA5A4E">
        <w:rPr>
          <w:rFonts w:ascii="Poppins" w:eastAsia="Times New Roman" w:hAnsi="Poppins" w:cs="Poppins"/>
          <w:color w:val="666666"/>
          <w:lang w:eastAsia="cs-CZ"/>
        </w:rPr>
        <w:t>e k poskytování domácí hospicové paliativní pé</w:t>
      </w:r>
      <w:r w:rsidRPr="00BA5A4E">
        <w:rPr>
          <w:rFonts w:ascii="Calibri" w:eastAsia="Times New Roman" w:hAnsi="Calibri" w:cs="Calibri"/>
          <w:color w:val="666666"/>
          <w:lang w:eastAsia="cs-CZ"/>
        </w:rPr>
        <w:t>č</w:t>
      </w:r>
      <w:r w:rsidRPr="00BA5A4E">
        <w:rPr>
          <w:rFonts w:ascii="Poppins" w:eastAsia="Times New Roman" w:hAnsi="Poppins" w:cs="Poppins"/>
          <w:color w:val="666666"/>
          <w:lang w:eastAsia="cs-CZ"/>
        </w:rPr>
        <w:t>e.</w:t>
      </w:r>
    </w:p>
    <w:p w14:paraId="60240DE3" w14:textId="1C1B9D8F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Poskytnutí aktuální lékařské zprávy. </w:t>
      </w:r>
    </w:p>
    <w:p w14:paraId="3CAFA05F" w14:textId="4ADE2230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Ukončená nebo odmítnutá aktivní léčba. </w:t>
      </w:r>
    </w:p>
    <w:p w14:paraId="26F7FADA" w14:textId="06D75E01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Podepsaný informovaný souhlas pacienta a pečujících. </w:t>
      </w:r>
    </w:p>
    <w:p w14:paraId="6EB784A5" w14:textId="0EC51B95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Vyplněná žádost o poskytnutí domácí hospicové péče.</w:t>
      </w:r>
    </w:p>
    <w:p w14:paraId="3871B7C7" w14:textId="77777777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Zajišt</w:t>
      </w:r>
      <w:r w:rsidRPr="00BA5A4E">
        <w:rPr>
          <w:rFonts w:ascii="Calibri" w:eastAsia="Times New Roman" w:hAnsi="Calibri" w:cs="Calibri"/>
          <w:color w:val="666666"/>
          <w:lang w:eastAsia="cs-CZ"/>
        </w:rPr>
        <w:t>ě</w:t>
      </w:r>
      <w:r w:rsidRPr="00BA5A4E">
        <w:rPr>
          <w:rFonts w:ascii="Poppins" w:eastAsia="Times New Roman" w:hAnsi="Poppins" w:cs="Poppins"/>
          <w:color w:val="666666"/>
          <w:lang w:eastAsia="cs-CZ"/>
        </w:rPr>
        <w:t>n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í</w:t>
      </w:r>
      <w:r w:rsidRPr="00BA5A4E">
        <w:rPr>
          <w:rFonts w:ascii="Poppins" w:eastAsia="Times New Roman" w:hAnsi="Poppins" w:cs="Poppins"/>
          <w:color w:val="666666"/>
          <w:lang w:eastAsia="cs-CZ"/>
        </w:rPr>
        <w:t xml:space="preserve"> celodenn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í</w:t>
      </w:r>
      <w:r w:rsidRPr="00BA5A4E">
        <w:rPr>
          <w:rFonts w:ascii="Poppins" w:eastAsia="Times New Roman" w:hAnsi="Poppins" w:cs="Poppins"/>
          <w:color w:val="666666"/>
          <w:lang w:eastAsia="cs-CZ"/>
        </w:rPr>
        <w:t xml:space="preserve"> p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é</w:t>
      </w:r>
      <w:r w:rsidRPr="00BA5A4E">
        <w:rPr>
          <w:rFonts w:ascii="Calibri" w:eastAsia="Times New Roman" w:hAnsi="Calibri" w:cs="Calibri"/>
          <w:color w:val="666666"/>
          <w:lang w:eastAsia="cs-CZ"/>
        </w:rPr>
        <w:t>č</w:t>
      </w:r>
      <w:r w:rsidRPr="00BA5A4E">
        <w:rPr>
          <w:rFonts w:ascii="Poppins" w:eastAsia="Times New Roman" w:hAnsi="Poppins" w:cs="Poppins"/>
          <w:color w:val="666666"/>
          <w:lang w:eastAsia="cs-CZ"/>
        </w:rPr>
        <w:t>e v domácím prost</w:t>
      </w:r>
      <w:r w:rsidRPr="00BA5A4E">
        <w:rPr>
          <w:rFonts w:ascii="Calibri" w:eastAsia="Times New Roman" w:hAnsi="Calibri" w:cs="Calibri"/>
          <w:color w:val="666666"/>
          <w:lang w:eastAsia="cs-CZ"/>
        </w:rPr>
        <w:t>ř</w:t>
      </w:r>
      <w:r w:rsidRPr="00BA5A4E">
        <w:rPr>
          <w:rFonts w:ascii="Poppins" w:eastAsia="Times New Roman" w:hAnsi="Poppins" w:cs="Poppins"/>
          <w:color w:val="666666"/>
          <w:lang w:eastAsia="cs-CZ"/>
        </w:rPr>
        <w:t>ed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í</w:t>
      </w:r>
      <w:r w:rsidRPr="00BA5A4E">
        <w:rPr>
          <w:rFonts w:ascii="Poppins" w:eastAsia="Times New Roman" w:hAnsi="Poppins" w:cs="Poppins"/>
          <w:color w:val="666666"/>
          <w:lang w:eastAsia="cs-CZ"/>
        </w:rPr>
        <w:t xml:space="preserve"> jinou osobou nebo rodinou pacienta.</w:t>
      </w:r>
      <w:r w:rsidRPr="00BA5A4E">
        <w:rPr>
          <w:rFonts w:ascii="Nirmala UI" w:eastAsia="Times New Roman" w:hAnsi="Nirmala UI" w:cs="Nirmala UI"/>
          <w:color w:val="666666"/>
          <w:lang w:eastAsia="cs-CZ"/>
        </w:rPr>
        <w:t> </w:t>
      </w:r>
    </w:p>
    <w:p w14:paraId="7DA40CAE" w14:textId="77777777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Neexistují žádné zdravotní, sociální či jiné důvody vylučující péči v domácím prostředí. </w:t>
      </w:r>
    </w:p>
    <w:p w14:paraId="198762AE" w14:textId="77777777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Dostatečná volná kapacita domácí hospicové péče. </w:t>
      </w:r>
    </w:p>
    <w:p w14:paraId="79E15D3D" w14:textId="77777777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Bydliště do 30 km od Velkého Meziříčí.</w:t>
      </w:r>
    </w:p>
    <w:p w14:paraId="748DE43D" w14:textId="4B1DD2A2" w:rsidR="005758DC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Souhlas s ceníkem služeb.</w:t>
      </w:r>
    </w:p>
    <w:p w14:paraId="2ED46018" w14:textId="77777777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 xml:space="preserve">O definitivním přijetí pacienta do domácí hospicové péče rozhoduje vedoucí pracovník domácího hospicové </w:t>
      </w:r>
      <w:proofErr w:type="gramStart"/>
      <w:r w:rsidRPr="00BA5A4E">
        <w:rPr>
          <w:rFonts w:ascii="Poppins" w:eastAsia="Times New Roman" w:hAnsi="Poppins" w:cs="Poppins"/>
          <w:color w:val="666666"/>
          <w:lang w:eastAsia="cs-CZ"/>
        </w:rPr>
        <w:t>péče .</w:t>
      </w:r>
      <w:proofErr w:type="gramEnd"/>
      <w:r w:rsidRPr="00BA5A4E">
        <w:rPr>
          <w:rFonts w:ascii="Poppins" w:eastAsia="Times New Roman" w:hAnsi="Poppins" w:cs="Poppins"/>
          <w:color w:val="666666"/>
          <w:lang w:eastAsia="cs-CZ"/>
        </w:rPr>
        <w:t> </w:t>
      </w:r>
    </w:p>
    <w:p w14:paraId="247735B6" w14:textId="77777777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>Poskytování domácí hospicové péče může být kdykoliv ukončeno ze strany pacienta i poskytovatele domácí hospicové péče.</w:t>
      </w:r>
    </w:p>
    <w:p w14:paraId="0C545B6A" w14:textId="77777777" w:rsidR="00BA5A4E" w:rsidRPr="00BA5A4E" w:rsidRDefault="00BA5A4E" w:rsidP="00575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Poppins" w:eastAsia="Times New Roman" w:hAnsi="Poppins" w:cs="Poppins"/>
          <w:color w:val="666666"/>
          <w:lang w:eastAsia="cs-CZ"/>
        </w:rPr>
      </w:pPr>
      <w:r w:rsidRPr="00BA5A4E">
        <w:rPr>
          <w:rFonts w:ascii="Poppins" w:eastAsia="Times New Roman" w:hAnsi="Poppins" w:cs="Poppins"/>
          <w:color w:val="666666"/>
          <w:lang w:eastAsia="cs-CZ"/>
        </w:rPr>
        <w:t xml:space="preserve">V případě volné kapacity Domácího hospice sv. Mikuláše, </w:t>
      </w:r>
      <w:proofErr w:type="spellStart"/>
      <w:r w:rsidRPr="00BA5A4E">
        <w:rPr>
          <w:rFonts w:ascii="Poppins" w:eastAsia="Times New Roman" w:hAnsi="Poppins" w:cs="Poppins"/>
          <w:color w:val="666666"/>
          <w:lang w:eastAsia="cs-CZ"/>
        </w:rPr>
        <w:t>z.ú</w:t>
      </w:r>
      <w:proofErr w:type="spellEnd"/>
      <w:r w:rsidRPr="00BA5A4E">
        <w:rPr>
          <w:rFonts w:ascii="Poppins" w:eastAsia="Times New Roman" w:hAnsi="Poppins" w:cs="Poppins"/>
          <w:color w:val="666666"/>
          <w:lang w:eastAsia="cs-CZ"/>
        </w:rPr>
        <w:t>., lze sjednat individuální podmínky.</w:t>
      </w:r>
    </w:p>
    <w:p w14:paraId="406E2218" w14:textId="156464E5" w:rsidR="005758DC" w:rsidRPr="005758DC" w:rsidRDefault="005758DC" w:rsidP="005758DC">
      <w:pPr>
        <w:spacing w:line="276" w:lineRule="auto"/>
        <w:rPr>
          <w:sz w:val="24"/>
          <w:szCs w:val="24"/>
        </w:rPr>
      </w:pPr>
      <w:r w:rsidRPr="005758DC">
        <w:rPr>
          <w:sz w:val="24"/>
          <w:szCs w:val="24"/>
        </w:rPr>
        <w:t xml:space="preserve">Sepsala: Lucie Klímová, vedoucí sestra                                                        </w:t>
      </w:r>
      <w:proofErr w:type="gramStart"/>
      <w:r w:rsidRPr="005758DC">
        <w:rPr>
          <w:sz w:val="24"/>
          <w:szCs w:val="24"/>
        </w:rPr>
        <w:t>dne :</w:t>
      </w:r>
      <w:proofErr w:type="gramEnd"/>
      <w:r w:rsidRPr="005758DC">
        <w:rPr>
          <w:sz w:val="24"/>
          <w:szCs w:val="24"/>
        </w:rPr>
        <w:t xml:space="preserve"> 6.12.2021</w:t>
      </w:r>
    </w:p>
    <w:sectPr w:rsidR="005758DC" w:rsidRPr="0057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24"/>
    <w:multiLevelType w:val="multilevel"/>
    <w:tmpl w:val="B5AE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737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4E"/>
    <w:rsid w:val="005758DC"/>
    <w:rsid w:val="00AF454F"/>
    <w:rsid w:val="00B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B5CB"/>
  <w15:chartTrackingRefBased/>
  <w15:docId w15:val="{A8428C3C-9F9C-4C1A-94FE-2BD9F46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A4E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BA5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5A4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A5A4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A5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picsvmikulas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csvmikulas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Klímová</dc:creator>
  <cp:keywords/>
  <dc:description/>
  <cp:lastModifiedBy>Lucie Klímová</cp:lastModifiedBy>
  <cp:revision>1</cp:revision>
  <dcterms:created xsi:type="dcterms:W3CDTF">2022-08-11T15:57:00Z</dcterms:created>
  <dcterms:modified xsi:type="dcterms:W3CDTF">2022-08-11T16:05:00Z</dcterms:modified>
</cp:coreProperties>
</file>